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4" w:rsidRDefault="00487C74" w:rsidP="0039298A">
      <w:pPr>
        <w:jc w:val="center"/>
        <w:rPr>
          <w:rFonts w:ascii="Times New Roman" w:hAnsi="Times New Roman"/>
          <w:b/>
          <w:sz w:val="24"/>
          <w:szCs w:val="24"/>
        </w:rPr>
      </w:pPr>
      <w:r w:rsidRPr="0039298A">
        <w:rPr>
          <w:rFonts w:ascii="Times New Roman" w:hAnsi="Times New Roman"/>
          <w:b/>
          <w:sz w:val="24"/>
          <w:szCs w:val="24"/>
        </w:rPr>
        <w:t>Пр</w:t>
      </w:r>
      <w:r w:rsidR="00B9171F">
        <w:rPr>
          <w:rFonts w:ascii="Times New Roman" w:hAnsi="Times New Roman"/>
          <w:b/>
          <w:sz w:val="24"/>
          <w:szCs w:val="24"/>
        </w:rPr>
        <w:t xml:space="preserve">опозиції </w:t>
      </w:r>
      <w:r w:rsidR="00B9171F" w:rsidRPr="0039298A">
        <w:rPr>
          <w:rFonts w:ascii="Times New Roman" w:hAnsi="Times New Roman"/>
          <w:b/>
          <w:sz w:val="24"/>
          <w:szCs w:val="24"/>
        </w:rPr>
        <w:t>у</w:t>
      </w:r>
      <w:r w:rsidR="00B9171F">
        <w:rPr>
          <w:rFonts w:ascii="Times New Roman" w:hAnsi="Times New Roman"/>
          <w:b/>
          <w:sz w:val="24"/>
          <w:szCs w:val="24"/>
        </w:rPr>
        <w:t xml:space="preserve">часників обговорення </w:t>
      </w:r>
      <w:r w:rsidRPr="0039298A">
        <w:rPr>
          <w:rFonts w:ascii="Times New Roman" w:hAnsi="Times New Roman"/>
          <w:b/>
          <w:sz w:val="24"/>
          <w:szCs w:val="24"/>
        </w:rPr>
        <w:t>положень Резолюції в проекті змін до законодавства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939"/>
        <w:gridCol w:w="3827"/>
        <w:gridCol w:w="3402"/>
        <w:gridCol w:w="4394"/>
      </w:tblGrid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9" w:type="dxa"/>
          </w:tcPr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F02" w:rsidRDefault="00E53F02" w:rsidP="005E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</w:p>
        </w:tc>
        <w:tc>
          <w:tcPr>
            <w:tcW w:w="3827" w:type="dxa"/>
          </w:tcPr>
          <w:p w:rsidR="00E53F02" w:rsidRDefault="00E53F02" w:rsidP="000E66D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F02" w:rsidRDefault="00E53F02" w:rsidP="00E53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Харків</w:t>
            </w:r>
          </w:p>
        </w:tc>
        <w:tc>
          <w:tcPr>
            <w:tcW w:w="3402" w:type="dxa"/>
          </w:tcPr>
          <w:p w:rsidR="00E53F02" w:rsidRDefault="00E53F02" w:rsidP="000E66D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F02" w:rsidRDefault="00E53F02" w:rsidP="005E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Тернопіль</w:t>
            </w:r>
          </w:p>
        </w:tc>
        <w:tc>
          <w:tcPr>
            <w:tcW w:w="4394" w:type="dxa"/>
          </w:tcPr>
          <w:p w:rsidR="00E53F02" w:rsidRDefault="00E53F02" w:rsidP="000E66D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F02" w:rsidRDefault="00E53F02" w:rsidP="005E3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Львів</w:t>
            </w: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9" w:type="dxa"/>
          </w:tcPr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DC">
              <w:rPr>
                <w:rFonts w:ascii="Times New Roman" w:hAnsi="Times New Roman"/>
                <w:sz w:val="24"/>
                <w:szCs w:val="24"/>
              </w:rPr>
              <w:t xml:space="preserve">Учасники </w:t>
            </w:r>
            <w:proofErr w:type="spellStart"/>
            <w:r w:rsidRPr="000E66DC">
              <w:rPr>
                <w:rFonts w:ascii="Times New Roman" w:hAnsi="Times New Roman"/>
                <w:sz w:val="24"/>
                <w:szCs w:val="24"/>
              </w:rPr>
              <w:t>Думайдану</w:t>
            </w:r>
            <w:proofErr w:type="spellEnd"/>
            <w:r w:rsidRPr="000E66DC">
              <w:rPr>
                <w:rFonts w:ascii="Times New Roman" w:hAnsi="Times New Roman"/>
                <w:sz w:val="24"/>
                <w:szCs w:val="24"/>
              </w:rPr>
              <w:t xml:space="preserve"> не погодились з прирівнянням об’єктів природної спадщини до об’єктів культурної спадщини.</w:t>
            </w:r>
          </w:p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DC">
              <w:rPr>
                <w:rFonts w:ascii="Times New Roman" w:hAnsi="Times New Roman"/>
                <w:sz w:val="24"/>
                <w:szCs w:val="24"/>
              </w:rPr>
              <w:t>Запропонували впровадити на законодавчому рівні поняття «екологічної спадщини».</w:t>
            </w:r>
          </w:p>
          <w:p w:rsidR="00E53F02" w:rsidRPr="000E66DC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обговорення питання щодо </w:t>
            </w:r>
            <w:r w:rsidRPr="000E66DC">
              <w:rPr>
                <w:rFonts w:ascii="Times New Roman" w:hAnsi="Times New Roman"/>
                <w:sz w:val="24"/>
                <w:szCs w:val="24"/>
              </w:rPr>
              <w:t>прирівняння об’єктів природної спадщини до об’єктів культурної спадщини.</w:t>
            </w:r>
          </w:p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66DC">
              <w:rPr>
                <w:rFonts w:ascii="Times New Roman" w:hAnsi="Times New Roman"/>
                <w:i/>
                <w:sz w:val="24"/>
                <w:szCs w:val="24"/>
              </w:rPr>
              <w:t>Коментар:</w:t>
            </w:r>
          </w:p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DC">
              <w:rPr>
                <w:rFonts w:ascii="Times New Roman" w:hAnsi="Times New Roman"/>
                <w:sz w:val="24"/>
                <w:szCs w:val="24"/>
              </w:rPr>
              <w:t>Імплементація пропозиції щодо «екологічної спадщини» передбачає внесення змін приблизно до 50 законів України з чітким визначенням об’єктів такої спадщини, умов її формування, існування та охоронного статусу.</w:t>
            </w:r>
          </w:p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6DC">
              <w:rPr>
                <w:rFonts w:ascii="Times New Roman" w:hAnsi="Times New Roman"/>
                <w:sz w:val="24"/>
                <w:szCs w:val="24"/>
              </w:rPr>
              <w:t>Поняття «екологічна спадщини» відсутнє в національному та європейському законодавстві; у зв’язку  з відсутністю відповідного світового досвіду необхідно отримати від учасників Думайдану детальні та конкретні пропозиції щодо впровадження в національному законодавстві нового предмету державного регулювання.</w:t>
            </w:r>
          </w:p>
          <w:p w:rsidR="00E53F02" w:rsidRPr="000E66DC" w:rsidRDefault="00E53F02" w:rsidP="005E3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  <w:sz w:val="24"/>
                <w:szCs w:val="24"/>
              </w:rPr>
              <w:t xml:space="preserve">Крім того слід зазначити, що </w:t>
            </w:r>
            <w:r w:rsidRPr="000E66DC">
              <w:rPr>
                <w:rFonts w:ascii="Times New Roman" w:hAnsi="Times New Roman"/>
              </w:rPr>
              <w:t xml:space="preserve">«об’єкти природної спадщини» - термін відсутній в чинному національному законодавстві, при </w:t>
            </w:r>
            <w:r w:rsidRPr="000E66DC">
              <w:rPr>
                <w:rFonts w:ascii="Times New Roman" w:hAnsi="Times New Roman"/>
              </w:rPr>
              <w:lastRenderedPageBreak/>
              <w:t>цьому передбачається Конвенцією про охорону всесвітньої культурної і природної спадщини (ДАТА ПІДПИСАННЯ: 16.11.72 р., ДАТА РАТИФІКАЦІЇ: 04.10.88 р., Указ Президії ВР УРСР N 6673-XI), при цьому Конвенцією визначається, що: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- під "культурною спадщиною" розуміються: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пам'ятки: твори архітектури, монументальної скульптури й живопису, елементи та структури археологічного характеру, написи, печери та групи елементів, які мають видатну універсальну цінність з точки зору історії, мистецтва чи науки;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ансамблі: групи ізольованих чи об'єднаних будівель, архітектура, єдність чи зв'язок з пейзажем яких є видатною універсальною цінністю з точки зору історії, мистецтва чи науки;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визначні місця: твори людини або спільні витвори людини й природи, а також зони, включаючи археологічні визначні місця, що є універсальною цінністю з точки зору історії, естетики, етнології чи антропології.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- під "природною спадщиною" розуміються: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природні пам'ятки, створені фізичними й біологічними утвореннями або групами таких утворень, що мають видатну універсальну цінність з точки зору естетики чи науки;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геологічні й фізіографічні утворення й суворо обмежені зони, що є ареалом видів тварин і рослин, </w:t>
            </w:r>
            <w:r w:rsidRPr="000E66DC">
              <w:rPr>
                <w:rFonts w:ascii="Times New Roman" w:hAnsi="Times New Roman"/>
              </w:rPr>
              <w:lastRenderedPageBreak/>
              <w:t xml:space="preserve">які зазнають загрози й мають видатну універсальну цінність з точки зору науки чи збереження;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природні визначні місця чи суворо обмежені природні зони, що мають видатну універсальну цінність з точки зору науки, збереження чи природної краси.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>Оскільки Конвенцією передбачених однаковий охоронний статус як для культурної так і для природної спадщини, проектом змін пропонується внести зміни до ЗУ «Про охорону культурної спадщини» та встановити, що: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 xml:space="preserve">культурна спадщина - сукупність успадкованих людством від попередніх поколінь об'єктів культурної </w:t>
            </w:r>
            <w:r w:rsidRPr="000E66DC">
              <w:rPr>
                <w:rFonts w:ascii="Times New Roman" w:hAnsi="Times New Roman"/>
                <w:b/>
              </w:rPr>
              <w:t>та природної</w:t>
            </w:r>
            <w:r w:rsidRPr="000E66DC">
              <w:rPr>
                <w:rFonts w:ascii="Times New Roman" w:hAnsi="Times New Roman"/>
              </w:rPr>
              <w:t xml:space="preserve"> спадщини; 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>об'єкт культурної спадщини – перелік об’єктів, визначених Конвенцією,</w:t>
            </w:r>
          </w:p>
          <w:p w:rsidR="00E53F02" w:rsidRPr="000E66DC" w:rsidRDefault="00E53F02" w:rsidP="005E381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>тобто, фактично прирівнявши об’єкти природної спадщини (у розумінні Конвенції) до об’єктів культурної спадщини.</w:t>
            </w:r>
          </w:p>
          <w:p w:rsidR="00E53F02" w:rsidRPr="000E66DC" w:rsidRDefault="00E53F02" w:rsidP="005E38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66DC">
              <w:rPr>
                <w:rFonts w:ascii="Times New Roman" w:hAnsi="Times New Roman"/>
              </w:rPr>
              <w:t>Внаслідок такої зміни, об’єкти, віднесені Конвенцією до природної спадщини, потраплять під охоронний статус, передбачений  іншими законами</w:t>
            </w: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b/>
              </w:rPr>
            </w:pPr>
            <w:r w:rsidRPr="00852BF5">
              <w:rPr>
                <w:b/>
              </w:rPr>
              <w:lastRenderedPageBreak/>
              <w:t>1</w:t>
            </w:r>
          </w:p>
        </w:tc>
        <w:tc>
          <w:tcPr>
            <w:tcW w:w="3939" w:type="dxa"/>
          </w:tcPr>
          <w:p w:rsidR="00E53F02" w:rsidRPr="000E66DC" w:rsidRDefault="00E53F02" w:rsidP="00632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Запропоновано слово «відновлювальних» замінити словом «відновлюваних».</w:t>
            </w: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запропонували термін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екомережа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замінити терміном «екологічна мережа».</w:t>
            </w: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4A2759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Коментар</w:t>
            </w:r>
            <w:r w:rsidRPr="004A27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Частина 4 статті 19 закону містить термін «екомережа». З метою уніфікації термінології змінами пропонується використовувати термін, який вже вживається у цьому законі.</w:t>
            </w:r>
          </w:p>
          <w:p w:rsidR="00E53F02" w:rsidRDefault="00E53F02" w:rsidP="00C67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Запропоновано доповнити закон нормою, якою визначити, що містобудівна діяльність має відбуватись з урахуванням стратегії сталого розвитку</w:t>
            </w: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C3116F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6F">
              <w:rPr>
                <w:rFonts w:ascii="Times New Roman" w:hAnsi="Times New Roman"/>
                <w:sz w:val="24"/>
                <w:szCs w:val="24"/>
              </w:rPr>
              <w:lastRenderedPageBreak/>
              <w:t>Запропоновано зміни викласти у такій редакції: «збереження природних ресурсів та відтворення відновлювальних природних ресурсів,»</w:t>
            </w: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03524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b/>
              </w:rPr>
            </w:pPr>
            <w:r w:rsidRPr="00852BF5">
              <w:rPr>
                <w:b/>
              </w:rPr>
              <w:lastRenderedPageBreak/>
              <w:t>2</w:t>
            </w:r>
          </w:p>
        </w:tc>
        <w:tc>
          <w:tcPr>
            <w:tcW w:w="3939" w:type="dxa"/>
          </w:tcPr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Думайдану запропонували встановити відповідальність голів (посадових осіб) органів місцевого самоврядування (на території яких було здійснено відповідне правопорушення) за правопорушення у сфері охорони навколишнього середовища у вигляді:</w:t>
            </w: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штрафу у розмірі 10 000 грн або одного року виправних робіт;</w:t>
            </w: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5F1281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штрафу у розмірі визначеного відсотка від суми нанесених збитків (вартості знищеного об’єкта). </w:t>
            </w:r>
          </w:p>
        </w:tc>
        <w:tc>
          <w:tcPr>
            <w:tcW w:w="3827" w:type="dxa"/>
          </w:tcPr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Пропозиція замінити слово «розробка» /паспорту/ словом «розроблення (створення)» /паспорту/.</w:t>
            </w: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Запропоновано відмовитись від діапазону сум штрафу, встановити фіксований розмір.</w:t>
            </w:r>
          </w:p>
          <w:p w:rsidR="00E53F02" w:rsidRDefault="00E53F02" w:rsidP="00420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Пропозиція виключити пункт Резолюції «</w:t>
            </w:r>
            <w:r w:rsidRPr="008A0795">
              <w:rPr>
                <w:rFonts w:ascii="Times New Roman" w:hAnsi="Times New Roman"/>
                <w:sz w:val="24"/>
                <w:szCs w:val="24"/>
              </w:rPr>
              <w:t>невиконання обов’язків по охороні зелених зон контролюючими органами;</w:t>
            </w:r>
            <w:r>
              <w:rPr>
                <w:rFonts w:ascii="Times New Roman" w:hAnsi="Times New Roman"/>
                <w:sz w:val="24"/>
                <w:szCs w:val="24"/>
              </w:rPr>
              <w:t>» (зазначений пункт Резолюції не було імплементовано в законопроект у зв</w:t>
            </w:r>
            <w:r w:rsidRPr="008A0795">
              <w:rPr>
                <w:rFonts w:ascii="Times New Roman" w:hAnsi="Times New Roman"/>
                <w:sz w:val="24"/>
                <w:szCs w:val="24"/>
              </w:rPr>
              <w:t>’я</w:t>
            </w:r>
            <w:r>
              <w:rPr>
                <w:rFonts w:ascii="Times New Roman" w:hAnsi="Times New Roman"/>
                <w:sz w:val="24"/>
                <w:szCs w:val="24"/>
              </w:rPr>
              <w:t>зку з вже встановленою чинним законодавством відповідальністю).</w:t>
            </w:r>
          </w:p>
          <w:p w:rsidR="00E53F02" w:rsidRDefault="00E53F02" w:rsidP="00420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Пропозиція виключити пункт Резолюції «</w:t>
            </w:r>
            <w:r w:rsidRPr="008A0795">
              <w:rPr>
                <w:rFonts w:ascii="Times New Roman" w:hAnsi="Times New Roman"/>
                <w:sz w:val="24"/>
                <w:szCs w:val="24"/>
              </w:rPr>
              <w:t>порушення встановлених правил здійснення  санітарних рубок зелених насаджень.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(зазначений пункт Резолюції не було імплементовано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законопроект через недоцільність такої конкретизації).</w:t>
            </w:r>
          </w:p>
          <w:p w:rsidR="00E53F02" w:rsidRDefault="00E53F02" w:rsidP="00420FA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Запропоновано розробити порядок інвентаризації зелених насаджень.</w:t>
            </w:r>
          </w:p>
          <w:p w:rsidR="00E53F02" w:rsidRPr="006320C5" w:rsidRDefault="00E53F02" w:rsidP="00420FA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20C5">
              <w:rPr>
                <w:rFonts w:ascii="Times New Roman" w:hAnsi="Times New Roman"/>
                <w:i/>
                <w:sz w:val="24"/>
                <w:szCs w:val="24"/>
              </w:rPr>
              <w:t>Коментар:</w:t>
            </w:r>
          </w:p>
          <w:p w:rsidR="00E53F02" w:rsidRPr="00734B59" w:rsidRDefault="00E53F02" w:rsidP="00420FA6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Інвентаризація зелених насаджень – порядок проведення регулюється наказом Державного </w:t>
            </w:r>
            <w:r w:rsidRPr="00734B59">
              <w:rPr>
                <w:rFonts w:ascii="Times New Roman" w:hAnsi="Times New Roman"/>
                <w:sz w:val="24"/>
                <w:szCs w:val="24"/>
              </w:rPr>
              <w:t>комітету будівництва, архітектури та житлової політики України від 24.12.2001 № 226</w:t>
            </w:r>
            <w:bookmarkStart w:id="0" w:name="o4"/>
            <w:bookmarkEnd w:id="0"/>
            <w:r w:rsidRPr="0073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B5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734B5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затвердження Інструкції з інвентаризації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</w:t>
            </w:r>
            <w:r w:rsidRPr="00734B5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елених насаджень у населених пунктах України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».</w:t>
            </w:r>
            <w:r w:rsidRPr="00734B5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F33B81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Виникло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питання щодо </w:t>
            </w:r>
            <w:proofErr w:type="spellStart"/>
            <w:r w:rsidRPr="00F33B81">
              <w:rPr>
                <w:rFonts w:ascii="Times New Roman" w:hAnsi="Times New Roman"/>
                <w:sz w:val="24"/>
                <w:szCs w:val="24"/>
              </w:rPr>
              <w:t>дендроплану</w:t>
            </w:r>
            <w:proofErr w:type="spellEnd"/>
            <w:r w:rsidRPr="00F33B81">
              <w:rPr>
                <w:rFonts w:ascii="Times New Roman" w:hAnsi="Times New Roman"/>
                <w:sz w:val="24"/>
                <w:szCs w:val="24"/>
              </w:rPr>
              <w:t xml:space="preserve"> компенсаційного озеленення.</w:t>
            </w: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Нововведення.</w:t>
            </w:r>
          </w:p>
          <w:p w:rsidR="00E53F02" w:rsidRDefault="00E53F02" w:rsidP="00F5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81">
              <w:rPr>
                <w:rFonts w:ascii="Times New Roman" w:hAnsi="Times New Roman"/>
                <w:sz w:val="24"/>
                <w:szCs w:val="24"/>
              </w:rPr>
              <w:t xml:space="preserve">Термін вводиться проектом на виконанная пункту Резолюції. Термін «компенсаційне озеленення» передбачене </w:t>
            </w:r>
            <w:r w:rsidRPr="00F33B81">
              <w:rPr>
                <w:rFonts w:ascii="Times New Roman" w:hAnsi="Times New Roman"/>
                <w:bCs/>
                <w:sz w:val="24"/>
                <w:szCs w:val="24"/>
              </w:rPr>
              <w:t>ДБН Б.2.2-5:2011.</w:t>
            </w:r>
            <w:bookmarkStart w:id="1" w:name="_GoBack"/>
            <w:bookmarkEnd w:id="1"/>
          </w:p>
        </w:tc>
        <w:tc>
          <w:tcPr>
            <w:tcW w:w="3402" w:type="dxa"/>
          </w:tcPr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83326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Учасники звернули увагу, що введення персональної відповідальності для посадових осіб можливо застосовувати як відповідальність за невиконання посадових обов*язків без додаткового звернення до суду, у зв*язку з неефективністю судової системи.</w:t>
            </w: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відповідні обов*язки та відповідальність за їх невиконання до посадових інструкцій відповідних посадових осіб.</w:t>
            </w: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4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Запропонували розглянути можливість ввести відповідальність для громадян за невжиття заходів щодо збереження зелених насаджень.</w:t>
            </w: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155C82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lastRenderedPageBreak/>
              <w:t>3</w:t>
            </w:r>
          </w:p>
          <w:p w:rsidR="00E53F02" w:rsidRPr="00852BF5" w:rsidRDefault="00E53F02" w:rsidP="00155C82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t>4</w:t>
            </w:r>
          </w:p>
          <w:p w:rsidR="00E53F02" w:rsidRPr="00852BF5" w:rsidRDefault="00E53F02" w:rsidP="00155C82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t>5</w:t>
            </w:r>
          </w:p>
        </w:tc>
        <w:tc>
          <w:tcPr>
            <w:tcW w:w="3939" w:type="dxa"/>
          </w:tcPr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9C">
              <w:rPr>
                <w:rFonts w:ascii="Times New Roman" w:hAnsi="Times New Roman"/>
                <w:sz w:val="24"/>
                <w:szCs w:val="24"/>
              </w:rPr>
              <w:t xml:space="preserve">Учасники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Думайдану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запропонували передбачити внесення змін до законодавства в частині визначення містобудівною документацією не тільки територій зелених насаджень (озеленених територій), але і територій інших об’єктів екосистеми.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Необхідно зазначити, що законодавство України містить положення щодо державного регулювання у сфері екологічних мереж.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тому числі </w:t>
            </w:r>
            <w:r w:rsidRPr="0025089C">
              <w:rPr>
                <w:rFonts w:ascii="Times New Roman" w:hAnsi="Times New Roman"/>
                <w:sz w:val="24"/>
                <w:szCs w:val="24"/>
              </w:rPr>
              <w:t>Закон України «Про регулювання містобудівної діяльності»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(та запропоновані зміни до нього) містять відповідні норми щодо зв’язку містобудівної діяльності з необхідністю збереження екомережі.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25089C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зв’язку з вищезазначеним та відсутністю в національному законодавстві поняття «об’єкти екологічної системи» необхідно отримати від учасників Думайдану детальні та конкретні пропозиції щодо впровадження в національному законодавстві нового предмету державного регулювання з переліком таких об’єктів та їх статусом, або відмовитись від імплементації такої пропозиції у зв’язку з наявністю державного регулювання у сфері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та функціонування екологічних мереж.</w:t>
            </w:r>
          </w:p>
          <w:p w:rsidR="00E53F02" w:rsidRPr="0025089C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Пропозиція доповнити перелік зелених насаджень лісопарками, виключити «квіткову рослинність».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Пропозиція слова «ділянки землі» замінити словами «земельні ділянки».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Коментар: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Необхідне додаткове узгодження пропозиції, оскільки «земельна ділянка» в земельному законодавстві має певні ознаки, наприклад: межі, кадастровий номер, цільове призначення тощо. Ділянка землі (озеленена) може знаходитись в межах земельної ділянки.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ED19AC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запропонували запропоновані зміни викласти у такій редакції:</w:t>
            </w:r>
          </w:p>
          <w:p w:rsidR="00E53F02" w:rsidRDefault="00E53F02" w:rsidP="00ED19AC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«- </w:t>
            </w:r>
            <w:r w:rsidRPr="008332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забороняється зміна цільового призначення та надання земельних ділянок на територіях </w:t>
            </w:r>
            <w:r w:rsidRPr="008332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зайнятих зеленими насадженнями загального користування для будівництва нових об'єктів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  <w:p w:rsidR="00E53F02" w:rsidRDefault="00E53F02" w:rsidP="00ED19AC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3F02" w:rsidRDefault="00E53F02" w:rsidP="00ED19AC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3F02" w:rsidRPr="00637284" w:rsidRDefault="00E53F02" w:rsidP="00ED19AC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E0">
              <w:rPr>
                <w:rFonts w:ascii="Times New Roman" w:hAnsi="Times New Roman"/>
                <w:b/>
                <w:sz w:val="24"/>
                <w:szCs w:val="24"/>
              </w:rPr>
              <w:t>на озеленених територіях, у тому числі зелених масивах, а також земельних</w:t>
            </w:r>
            <w:r w:rsidRPr="00051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1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ділянках, призначених для розвитку озеленених територій, забороняється забудова, не пов'язана з цільовим призначенням озелененої території;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E53F02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Запропонували перевірити запропоноване співвідношення територій, зайнятих рослинним покривом з чинними державними будівельними нормами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Запропонували в змінах до законодавства врахувати положення ЗУ «Про генеральний план».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Коментар:</w:t>
            </w:r>
          </w:p>
          <w:p w:rsidR="00E53F02" w:rsidRPr="000C3388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національному законодавстві відсутній ЗУ «Про генеральний план».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Запропонували окремо наголосити, що проведення екологічної експертизи є обовязковим етапом перед затвердження Генерального плану відповідно до ЗУ «Про екологічну експертизу».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Коментар: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 «Про оцінку впливу на довкілля» ЗУ «Про екологічну експертизу» визнається таким, що втратив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чинність.</w:t>
            </w:r>
          </w:p>
          <w:p w:rsidR="00E53F02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Запропонували встановити та конкретизувати відповідальність за недотримання вимог містобудівної документації.</w:t>
            </w: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</w:p>
        </w:tc>
        <w:tc>
          <w:tcPr>
            <w:tcW w:w="3939" w:type="dxa"/>
          </w:tcPr>
          <w:p w:rsidR="00E53F02" w:rsidRPr="0025089C" w:rsidRDefault="00E53F02" w:rsidP="00D45E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Pr="0025089C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Пропозиція слова «природних комплексів» замінити словом «ландшафтів».</w:t>
            </w:r>
          </w:p>
          <w:p w:rsidR="00E53F02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Default="00E53F02" w:rsidP="00DD0DC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t>6</w:t>
            </w:r>
          </w:p>
        </w:tc>
        <w:tc>
          <w:tcPr>
            <w:tcW w:w="3939" w:type="dxa"/>
          </w:tcPr>
          <w:p w:rsidR="00E53F02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Default="00E53F02" w:rsidP="00590C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583">
              <w:rPr>
                <w:rFonts w:ascii="Times New Roman" w:hAnsi="Times New Roman"/>
                <w:sz w:val="24"/>
                <w:szCs w:val="24"/>
              </w:rPr>
              <w:t xml:space="preserve">Запропонували </w:t>
            </w:r>
            <w:r>
              <w:rPr>
                <w:rFonts w:ascii="Times New Roman" w:hAnsi="Times New Roman"/>
                <w:sz w:val="24"/>
                <w:szCs w:val="24"/>
              </w:rPr>
              <w:t>в усьому законодавстві словосполучення «навколишнє природне середовище» замінити словом «довкілля».</w:t>
            </w:r>
          </w:p>
          <w:p w:rsidR="00E53F02" w:rsidRDefault="00E53F02" w:rsidP="00590C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590C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Default="00E53F02" w:rsidP="00E53F0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«додержання» замінити словом «дотримання»</w:t>
            </w:r>
          </w:p>
          <w:p w:rsidR="00E53F02" w:rsidRDefault="00E53F02" w:rsidP="00590C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C14583" w:rsidRDefault="00E53F02" w:rsidP="00590C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Pr="00C14583" w:rsidRDefault="00E53F02" w:rsidP="0059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t>7</w:t>
            </w:r>
          </w:p>
        </w:tc>
        <w:tc>
          <w:tcPr>
            <w:tcW w:w="3939" w:type="dxa"/>
          </w:tcPr>
          <w:p w:rsidR="00E53F02" w:rsidRPr="00702E97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Pr="00702E97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3F02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3F02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3F02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3F02" w:rsidRPr="00702E97" w:rsidRDefault="00E53F02" w:rsidP="00D70D2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Pr="00590CEA" w:rsidRDefault="00E53F02" w:rsidP="00590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Запропоновано відмовитись від діапазону сум штрафу, встановити максимальний фіксований розмір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штрафу для підприємств-забудовників.</w:t>
            </w: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lastRenderedPageBreak/>
              <w:t>8</w:t>
            </w:r>
          </w:p>
        </w:tc>
        <w:tc>
          <w:tcPr>
            <w:tcW w:w="3939" w:type="dxa"/>
          </w:tcPr>
          <w:p w:rsidR="00E53F02" w:rsidRPr="00B63B64" w:rsidRDefault="00E53F02" w:rsidP="00B63B6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Pr="000B7ED0" w:rsidRDefault="00E53F02" w:rsidP="00DD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D0">
              <w:rPr>
                <w:rFonts w:ascii="Times New Roman" w:hAnsi="Times New Roman"/>
                <w:sz w:val="24"/>
                <w:szCs w:val="24"/>
              </w:rPr>
              <w:t>До обговорення.</w:t>
            </w:r>
          </w:p>
          <w:p w:rsidR="00E53F02" w:rsidRPr="00B63B64" w:rsidRDefault="00E53F02" w:rsidP="00DD0D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ED0">
              <w:rPr>
                <w:rFonts w:ascii="Times New Roman" w:hAnsi="Times New Roman"/>
                <w:sz w:val="24"/>
                <w:szCs w:val="24"/>
              </w:rPr>
              <w:t>Учасники запропонували розглянути доцільність імплементації пункту Резолюції.</w:t>
            </w:r>
          </w:p>
        </w:tc>
        <w:tc>
          <w:tcPr>
            <w:tcW w:w="3402" w:type="dxa"/>
          </w:tcPr>
          <w:p w:rsidR="00E53F02" w:rsidRPr="000B7ED0" w:rsidRDefault="00E53F02" w:rsidP="00DD0DC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Запропонували створення відповідних служб, органів за участі громадськості.</w:t>
            </w:r>
          </w:p>
        </w:tc>
        <w:tc>
          <w:tcPr>
            <w:tcW w:w="4394" w:type="dxa"/>
          </w:tcPr>
          <w:p w:rsidR="00E53F02" w:rsidRDefault="00E53F02" w:rsidP="003B1C20">
            <w:pPr>
              <w:pStyle w:val="a4"/>
              <w:ind w:firstLine="3"/>
              <w:jc w:val="both"/>
            </w:pPr>
            <w:r>
              <w:t xml:space="preserve">Запропонували передбачити обов*язкове створення  </w:t>
            </w:r>
            <w:r w:rsidRPr="008A0795">
              <w:t>органів, служб та комунальних підприємств для здійснення догляду за зеленими зонами та їхньої охорони;</w:t>
            </w:r>
            <w:r>
              <w:t xml:space="preserve"> не тільки </w:t>
            </w:r>
            <w:r w:rsidRPr="008A0795">
              <w:t>органами місцевого самоврядування міст</w:t>
            </w:r>
            <w:r>
              <w:t>, але і сіл та селищ.</w:t>
            </w:r>
          </w:p>
          <w:p w:rsidR="00E53F02" w:rsidRDefault="00E53F02" w:rsidP="003B1C20">
            <w:pPr>
              <w:pStyle w:val="a4"/>
              <w:ind w:firstLine="3"/>
              <w:jc w:val="both"/>
              <w:rPr>
                <w:i/>
              </w:rPr>
            </w:pPr>
            <w:r w:rsidRPr="003B1C20">
              <w:rPr>
                <w:i/>
              </w:rPr>
              <w:t>Коментар: </w:t>
            </w:r>
          </w:p>
          <w:p w:rsidR="00E53F02" w:rsidRDefault="00E53F02" w:rsidP="003B1C20">
            <w:pPr>
              <w:pStyle w:val="a4"/>
              <w:ind w:firstLine="3"/>
              <w:jc w:val="both"/>
            </w:pPr>
            <w:r>
              <w:t>Необхідно зазначити, що недоцільно в обов*язковому порядку створювати відповідні органи в селах та селищах, враховуючи не тільки чисельність та територіальний розмір таких населених пунктів, але і штатну чисельність виконавчих органів таких місцевих рад.</w:t>
            </w:r>
          </w:p>
          <w:p w:rsidR="00E53F02" w:rsidRPr="003B1C20" w:rsidRDefault="00E53F02" w:rsidP="003B1C20">
            <w:pPr>
              <w:pStyle w:val="a4"/>
              <w:ind w:firstLine="3"/>
              <w:jc w:val="both"/>
            </w:pPr>
            <w:r>
              <w:t>Запропонували створення відповідних служб, органів за участі громади.</w:t>
            </w:r>
          </w:p>
          <w:p w:rsidR="00E53F02" w:rsidRDefault="00E53F02" w:rsidP="003B1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t>9</w:t>
            </w:r>
          </w:p>
        </w:tc>
        <w:tc>
          <w:tcPr>
            <w:tcW w:w="3939" w:type="dxa"/>
          </w:tcPr>
          <w:p w:rsidR="00E53F02" w:rsidRPr="00B63B64" w:rsidRDefault="00E53F02" w:rsidP="00A02EB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Pr="00B63B64" w:rsidRDefault="00E53F02" w:rsidP="00A02EB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Pr="00B63B64" w:rsidRDefault="00E53F02" w:rsidP="00A02EB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Pr="00B63B64" w:rsidRDefault="00E53F02" w:rsidP="00A02EB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t>10</w:t>
            </w:r>
          </w:p>
        </w:tc>
        <w:tc>
          <w:tcPr>
            <w:tcW w:w="3939" w:type="dxa"/>
          </w:tcPr>
          <w:p w:rsidR="00E53F02" w:rsidRPr="00A02EB5" w:rsidRDefault="00E53F02" w:rsidP="00A02EB5">
            <w:pPr>
              <w:pStyle w:val="6"/>
              <w:shd w:val="clear" w:color="auto" w:fill="FFFFFF"/>
              <w:spacing w:before="0" w:after="0"/>
              <w:ind w:firstLine="401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Pr="00A02EB5" w:rsidRDefault="00E53F02" w:rsidP="00D03DC6">
            <w:pPr>
              <w:pStyle w:val="6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Пропозиція повернутись до законодавства початку 90-х рр в частині розподілу повноважень органів Мінекології з метою здійснення належного державного контролю за дотриманням охорони навколишнього середовища.</w:t>
            </w:r>
          </w:p>
        </w:tc>
        <w:tc>
          <w:tcPr>
            <w:tcW w:w="3402" w:type="dxa"/>
          </w:tcPr>
          <w:p w:rsidR="00E53F02" w:rsidRDefault="00E53F02" w:rsidP="00D03DC6">
            <w:pPr>
              <w:pStyle w:val="6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Запропоновано зобов*язати об*єднані територіальні громади визначити відповідальну(ого) за благоустрій особу (орган).</w:t>
            </w:r>
          </w:p>
          <w:p w:rsidR="00E53F02" w:rsidRPr="008A0795" w:rsidRDefault="00E53F02" w:rsidP="00D03DC6">
            <w:pPr>
              <w:pStyle w:val="a4"/>
              <w:jc w:val="both"/>
            </w:pPr>
            <w:r>
              <w:t>Підтримали пропозицію щодо відновлення територіальних</w:t>
            </w:r>
            <w:r w:rsidRPr="008A0795">
              <w:t xml:space="preserve"> орган</w:t>
            </w:r>
            <w:r>
              <w:t>ів</w:t>
            </w:r>
            <w:r w:rsidRPr="008A0795">
              <w:t xml:space="preserve"> Міністерства екології та природних ресурсів у областях, містах Києві та </w:t>
            </w:r>
            <w:r w:rsidRPr="008A0795">
              <w:lastRenderedPageBreak/>
              <w:t>Севастополі;</w:t>
            </w:r>
            <w:r>
              <w:t xml:space="preserve"> та створення таких органів в </w:t>
            </w:r>
            <w:r w:rsidRPr="00C639E9">
              <w:rPr>
                <w:color w:val="000000"/>
              </w:rPr>
              <w:t>об*єднаних територіальних громадах</w:t>
            </w:r>
            <w:r>
              <w:rPr>
                <w:color w:val="000000"/>
              </w:rPr>
              <w:t>.</w:t>
            </w:r>
          </w:p>
          <w:p w:rsidR="00E53F02" w:rsidRPr="00C639E9" w:rsidRDefault="00E53F02" w:rsidP="00D03DC6">
            <w:pPr>
              <w:rPr>
                <w:lang w:eastAsia="uk-UA"/>
              </w:rPr>
            </w:pPr>
          </w:p>
        </w:tc>
        <w:tc>
          <w:tcPr>
            <w:tcW w:w="4394" w:type="dxa"/>
          </w:tcPr>
          <w:p w:rsidR="00E53F02" w:rsidRDefault="00E53F02" w:rsidP="005E3810">
            <w:pPr>
              <w:pStyle w:val="6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Учасники висловили деякий сумнів щодо необхідності проведення відповідної реформи, яка може призвести до дублювання функцій контролюючих органів.</w:t>
            </w: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lastRenderedPageBreak/>
              <w:t>11</w:t>
            </w:r>
          </w:p>
        </w:tc>
        <w:tc>
          <w:tcPr>
            <w:tcW w:w="3939" w:type="dxa"/>
          </w:tcPr>
          <w:p w:rsidR="00E53F02" w:rsidRDefault="00E53F02" w:rsidP="00A02EB5">
            <w:pPr>
              <w:ind w:firstLine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Default="00E53F02" w:rsidP="00A02EB5">
            <w:pPr>
              <w:ind w:firstLine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Default="00E53F02" w:rsidP="00A02EB5">
            <w:pPr>
              <w:ind w:firstLine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Default="00E53F02" w:rsidP="00A02EB5">
            <w:pPr>
              <w:ind w:firstLine="4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b/>
              </w:rPr>
            </w:pPr>
            <w:r w:rsidRPr="00852BF5">
              <w:rPr>
                <w:b/>
              </w:rPr>
              <w:t>12</w:t>
            </w:r>
          </w:p>
        </w:tc>
        <w:tc>
          <w:tcPr>
            <w:tcW w:w="3939" w:type="dxa"/>
          </w:tcPr>
          <w:p w:rsidR="00E53F02" w:rsidRDefault="00E53F02" w:rsidP="003A5E48">
            <w:pPr>
              <w:spacing w:after="0" w:line="240" w:lineRule="auto"/>
              <w:ind w:left="-39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Default="00E53F02" w:rsidP="003A5E48">
            <w:pPr>
              <w:spacing w:after="0" w:line="240" w:lineRule="auto"/>
              <w:ind w:left="-39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Pr="00736AE6" w:rsidRDefault="00E53F02" w:rsidP="00E53F02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E6">
              <w:rPr>
                <w:rFonts w:ascii="Times New Roman" w:hAnsi="Times New Roman"/>
                <w:sz w:val="24"/>
                <w:szCs w:val="24"/>
              </w:rPr>
              <w:t>Запропоновано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передбачити Проектом обов*язковість дотримання ландшафтної естетики в процесі утримання зелених зон в населених пунктах.</w:t>
            </w:r>
          </w:p>
        </w:tc>
        <w:tc>
          <w:tcPr>
            <w:tcW w:w="4394" w:type="dxa"/>
          </w:tcPr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13F">
              <w:rPr>
                <w:rFonts w:ascii="Times New Roman" w:hAnsi="Times New Roman"/>
                <w:sz w:val="24"/>
                <w:szCs w:val="24"/>
              </w:rPr>
              <w:t>Запропонували конкретизувати підпункт 3 з метою унеможливлення розташування на територіях сміттєзвалищ:</w:t>
            </w: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13F">
              <w:rPr>
                <w:rFonts w:ascii="Times New Roman" w:hAnsi="Times New Roman"/>
                <w:color w:val="000000"/>
                <w:sz w:val="24"/>
                <w:szCs w:val="24"/>
              </w:rPr>
              <w:t>«споруди системи збирання і вивезення відходів, що утворились на території благоустрою»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D8013F">
            <w:pPr>
              <w:spacing w:after="0" w:line="240" w:lineRule="auto"/>
              <w:ind w:lef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13F">
              <w:rPr>
                <w:rFonts w:ascii="Times New Roman" w:hAnsi="Times New Roman"/>
                <w:sz w:val="24"/>
                <w:szCs w:val="24"/>
              </w:rPr>
              <w:t>Запропонували виключити з переліку малі архітектурні формі.</w:t>
            </w: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013F">
              <w:rPr>
                <w:rFonts w:ascii="Times New Roman" w:hAnsi="Times New Roman"/>
                <w:i/>
                <w:sz w:val="24"/>
                <w:szCs w:val="24"/>
              </w:rPr>
              <w:t>Коментар:</w:t>
            </w: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13F">
              <w:rPr>
                <w:rFonts w:ascii="Times New Roman" w:hAnsi="Times New Roman"/>
                <w:sz w:val="24"/>
                <w:szCs w:val="24"/>
              </w:rPr>
              <w:t>Законом встановлено перелік МАФів, а саме:</w:t>
            </w:r>
          </w:p>
          <w:p w:rsidR="00E53F02" w:rsidRPr="002F6375" w:rsidRDefault="00E53F02" w:rsidP="002F63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ала  архітектурна  форма  -  це елемент декоративного чи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іншого оснащення об’єкта благоустрою.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E53F02" w:rsidRPr="002F6375" w:rsidRDefault="00E53F02" w:rsidP="002F63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2" w:name="o211"/>
            <w:bookmarkEnd w:id="2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малих архітектурних форм належать: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bookmarkStart w:id="3" w:name="o212"/>
            <w:bookmarkEnd w:id="3"/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-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альтанки, павільйони, навіси;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4" w:name="o213"/>
            <w:bookmarkEnd w:id="4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паркові арки (аркади) і колони (колонади);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5" w:name="o214"/>
            <w:bookmarkEnd w:id="5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вуличні вази, вазони і амфори;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6" w:name="o215"/>
            <w:bookmarkEnd w:id="6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декоративна та ігрова скульптура;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7" w:name="o216"/>
            <w:bookmarkEnd w:id="7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вуличні меблі (лавки, лави, столи);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8" w:name="o217"/>
            <w:bookmarkEnd w:id="8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сходи, балюстради;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9" w:name="o218"/>
            <w:bookmarkEnd w:id="9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паркові містки;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10" w:name="o219"/>
            <w:bookmarkEnd w:id="10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огорожі, ворота, ґрати;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11" w:name="o220"/>
            <w:bookmarkEnd w:id="11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інформаційні стенди, дошки, вивіски; </w:t>
            </w:r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D8013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bookmarkStart w:id="12" w:name="o221"/>
            <w:bookmarkEnd w:id="12"/>
            <w:r w:rsidRPr="002F63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інші елементи благоустрою, визначені законодавством. </w:t>
            </w:r>
          </w:p>
          <w:p w:rsidR="00E53F02" w:rsidRPr="00D8013F" w:rsidRDefault="00E53F02" w:rsidP="002F6375">
            <w:pP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lastRenderedPageBreak/>
              <w:t>13</w:t>
            </w:r>
          </w:p>
        </w:tc>
        <w:tc>
          <w:tcPr>
            <w:tcW w:w="3939" w:type="dxa"/>
          </w:tcPr>
          <w:p w:rsidR="00E53F02" w:rsidRPr="00EA7E72" w:rsidRDefault="00E53F02" w:rsidP="005565DB">
            <w:pPr>
              <w:pStyle w:val="HTML"/>
              <w:shd w:val="clear" w:color="auto" w:fill="FFFFFF"/>
              <w:ind w:firstLine="62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E53F02" w:rsidRPr="00EA7E72" w:rsidRDefault="00E53F02" w:rsidP="005565DB">
            <w:pPr>
              <w:pStyle w:val="HTML"/>
              <w:shd w:val="clear" w:color="auto" w:fill="FFFFFF"/>
              <w:ind w:firstLine="62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E53F02" w:rsidRDefault="00E53F02" w:rsidP="009136BB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Вирішили надати пропозиції щодо  критеріїв для визначення «історичних парків та садів» з урахуванням Флорентійської хартії.</w:t>
            </w:r>
          </w:p>
          <w:p w:rsidR="00E53F02" w:rsidRDefault="00E53F02" w:rsidP="009136BB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53F02" w:rsidRDefault="00E53F02" w:rsidP="009136BB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Визначились, що</w:t>
            </w:r>
          </w:p>
          <w:p w:rsidR="00E53F02" w:rsidRDefault="00E53F02" w:rsidP="009136BB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історичні парки – це не природні парки.</w:t>
            </w:r>
          </w:p>
          <w:p w:rsidR="00E53F02" w:rsidRPr="00EA7E72" w:rsidRDefault="00E53F02" w:rsidP="009136BB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E53F02" w:rsidRDefault="00E53F02" w:rsidP="009136BB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t>14</w:t>
            </w:r>
          </w:p>
        </w:tc>
        <w:tc>
          <w:tcPr>
            <w:tcW w:w="3939" w:type="dxa"/>
          </w:tcPr>
          <w:p w:rsidR="00E53F02" w:rsidRPr="005D4785" w:rsidRDefault="00E53F02" w:rsidP="00AB4D20">
            <w:pPr>
              <w:spacing w:after="0" w:line="240" w:lineRule="auto"/>
              <w:ind w:left="-39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Pr="005D4785" w:rsidRDefault="00E53F02" w:rsidP="00AB4D20">
            <w:pPr>
              <w:spacing w:after="0" w:line="240" w:lineRule="auto"/>
              <w:ind w:left="-39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Pr="005D4785" w:rsidRDefault="00E53F02" w:rsidP="00AB4D20">
            <w:pPr>
              <w:spacing w:after="0" w:line="240" w:lineRule="auto"/>
              <w:ind w:left="-39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Pr="005D4785" w:rsidRDefault="00E53F02" w:rsidP="00AB4D20">
            <w:pPr>
              <w:spacing w:after="0" w:line="240" w:lineRule="auto"/>
              <w:ind w:left="-39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pStyle w:val="a4"/>
              <w:jc w:val="both"/>
              <w:rPr>
                <w:rStyle w:val="a5"/>
              </w:rPr>
            </w:pPr>
            <w:r w:rsidRPr="00852BF5">
              <w:rPr>
                <w:rStyle w:val="a5"/>
              </w:rPr>
              <w:t>15</w:t>
            </w:r>
          </w:p>
        </w:tc>
        <w:tc>
          <w:tcPr>
            <w:tcW w:w="3939" w:type="dxa"/>
          </w:tcPr>
          <w:p w:rsidR="00E53F02" w:rsidRPr="005D4785" w:rsidRDefault="00E53F02" w:rsidP="005D4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Pr="005D4785" w:rsidRDefault="00E53F02" w:rsidP="005D4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Default="00E53F02" w:rsidP="005D4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звернули увагу, що некоректно вводити навчальну програму тільки про зелені насадження -необхідно про всю екологію.</w:t>
            </w:r>
          </w:p>
          <w:p w:rsidR="00E53F02" w:rsidRDefault="00E53F02" w:rsidP="005D4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Перегон наполягав на включення відповідного питання на національному рівні до наказу.</w:t>
            </w:r>
          </w:p>
          <w:p w:rsidR="00E53F02" w:rsidRDefault="00E53F02" w:rsidP="005D4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F02" w:rsidRPr="00B56871" w:rsidRDefault="00E53F02" w:rsidP="005D47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6871">
              <w:rPr>
                <w:rFonts w:ascii="Times New Roman" w:hAnsi="Times New Roman"/>
                <w:i/>
                <w:sz w:val="24"/>
                <w:szCs w:val="24"/>
              </w:rPr>
              <w:t>Коментар:</w:t>
            </w:r>
          </w:p>
          <w:p w:rsidR="00E53F02" w:rsidRDefault="00E53F02" w:rsidP="005D4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Наказ втратив чинність</w:t>
            </w:r>
          </w:p>
          <w:p w:rsidR="00E53F02" w:rsidRPr="005D4785" w:rsidRDefault="00E53F02" w:rsidP="005D4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3F02" w:rsidRDefault="00E53F02" w:rsidP="005D4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Запропонували додатково передбачити для депутатів місцевих рад та органів місцевого самоврядування відповідні курси підвищення кваліфікації з обов*язковим вивченням положень законодавства у сфері охорони навколишнього середовища.</w:t>
            </w: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5D4785">
            <w:pPr>
              <w:pStyle w:val="a4"/>
              <w:jc w:val="both"/>
              <w:rPr>
                <w:b/>
              </w:rPr>
            </w:pPr>
            <w:r w:rsidRPr="00852BF5">
              <w:rPr>
                <w:b/>
              </w:rPr>
              <w:lastRenderedPageBreak/>
              <w:t>16</w:t>
            </w:r>
          </w:p>
        </w:tc>
        <w:tc>
          <w:tcPr>
            <w:tcW w:w="3939" w:type="dxa"/>
          </w:tcPr>
          <w:p w:rsidR="00E53F02" w:rsidRPr="008A0795" w:rsidRDefault="00E53F02" w:rsidP="008A079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02" w:rsidRPr="008A0795" w:rsidRDefault="00E53F02" w:rsidP="008A079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3F02" w:rsidRPr="002D26CC" w:rsidRDefault="00E53F02" w:rsidP="002D26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6CC">
              <w:rPr>
                <w:rFonts w:ascii="Times New Roman" w:hAnsi="Times New Roman"/>
                <w:color w:val="000000"/>
                <w:sz w:val="24"/>
                <w:szCs w:val="24"/>
              </w:rPr>
              <w:t>Запропонували долучити поліцію до комісії з видалення дерев, щоб фіксувала видалення</w:t>
            </w:r>
          </w:p>
        </w:tc>
        <w:tc>
          <w:tcPr>
            <w:tcW w:w="4394" w:type="dxa"/>
          </w:tcPr>
          <w:p w:rsidR="00E53F02" w:rsidRDefault="00E53F02" w:rsidP="008A079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53F02" w:rsidRPr="0003524F" w:rsidTr="00E53F02">
        <w:tc>
          <w:tcPr>
            <w:tcW w:w="456" w:type="dxa"/>
          </w:tcPr>
          <w:p w:rsidR="00E53F02" w:rsidRPr="00852BF5" w:rsidRDefault="00E53F02" w:rsidP="000352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BF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39" w:type="dxa"/>
          </w:tcPr>
          <w:p w:rsidR="00E53F02" w:rsidRPr="008A0795" w:rsidRDefault="00E53F02" w:rsidP="008A0795">
            <w:pPr>
              <w:spacing w:after="0" w:line="240" w:lineRule="auto"/>
              <w:ind w:firstLine="49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</w:tcPr>
          <w:p w:rsidR="00E53F02" w:rsidRPr="008A0795" w:rsidRDefault="00E53F02" w:rsidP="008A0795">
            <w:pPr>
              <w:spacing w:after="0" w:line="240" w:lineRule="auto"/>
              <w:ind w:firstLine="49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E53F02" w:rsidRPr="008A0795" w:rsidRDefault="00E53F02" w:rsidP="008A0795">
            <w:pPr>
              <w:spacing w:after="0" w:line="240" w:lineRule="auto"/>
              <w:ind w:firstLine="49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E53F02" w:rsidRPr="008A0795" w:rsidRDefault="00E53F02" w:rsidP="008A0795">
            <w:pPr>
              <w:spacing w:after="0" w:line="240" w:lineRule="auto"/>
              <w:ind w:firstLine="496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87C74" w:rsidRDefault="00487C74" w:rsidP="009C6264"/>
    <w:p w:rsidR="000E4FC4" w:rsidRPr="000E4FC4" w:rsidRDefault="000E4FC4" w:rsidP="009C6264">
      <w:pPr>
        <w:rPr>
          <w:rFonts w:ascii="Times New Roman" w:hAnsi="Times New Roman"/>
          <w:sz w:val="24"/>
          <w:szCs w:val="24"/>
        </w:rPr>
      </w:pPr>
      <w:r w:rsidRPr="000E4FC4">
        <w:rPr>
          <w:rFonts w:ascii="Times New Roman" w:hAnsi="Times New Roman"/>
          <w:sz w:val="24"/>
          <w:szCs w:val="24"/>
        </w:rPr>
        <w:t>Крім обговорення законопроекту окремо було запропоновано (скоріш за все як нові пункти Резолюції):</w:t>
      </w:r>
    </w:p>
    <w:p w:rsidR="000E4FC4" w:rsidRPr="000E4FC4" w:rsidRDefault="000E4FC4" w:rsidP="000E4FC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4FC4">
        <w:rPr>
          <w:rFonts w:ascii="Times New Roman" w:hAnsi="Times New Roman"/>
          <w:sz w:val="24"/>
          <w:szCs w:val="24"/>
        </w:rPr>
        <w:t>Створити «Зелену поліцію». Повноваження: оперативний контроль екологічної ситуації: стан води, повітря, температури земної поверхні, рівень вологості тощо.</w:t>
      </w:r>
    </w:p>
    <w:p w:rsidR="000E4FC4" w:rsidRPr="000E4FC4" w:rsidRDefault="000E4FC4" w:rsidP="000E4FC4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E4FC4">
        <w:rPr>
          <w:rFonts w:ascii="Times New Roman" w:hAnsi="Times New Roman"/>
          <w:sz w:val="24"/>
          <w:szCs w:val="24"/>
        </w:rPr>
        <w:t>Розробити екологічну стратегію розвитку міста.</w:t>
      </w:r>
    </w:p>
    <w:p w:rsidR="000E4FC4" w:rsidRDefault="000E4FC4" w:rsidP="009C6264">
      <w:pPr>
        <w:pStyle w:val="a6"/>
        <w:numPr>
          <w:ilvl w:val="0"/>
          <w:numId w:val="3"/>
        </w:numPr>
      </w:pPr>
      <w:r w:rsidRPr="009C78AA">
        <w:rPr>
          <w:rFonts w:ascii="Times New Roman" w:hAnsi="Times New Roman"/>
          <w:sz w:val="24"/>
          <w:szCs w:val="24"/>
        </w:rPr>
        <w:t>Впровадити грошову винагороду (компенсацію) від держави за утримання громадянами зелених насаджень.</w:t>
      </w:r>
    </w:p>
    <w:sectPr w:rsidR="000E4FC4" w:rsidSect="008A0795">
      <w:footerReference w:type="even" r:id="rId8"/>
      <w:footerReference w:type="default" r:id="rId9"/>
      <w:pgSz w:w="16838" w:h="11906" w:orient="landscape"/>
      <w:pgMar w:top="54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FD" w:rsidRDefault="000441FD">
      <w:r>
        <w:separator/>
      </w:r>
    </w:p>
  </w:endnote>
  <w:endnote w:type="continuationSeparator" w:id="0">
    <w:p w:rsidR="000441FD" w:rsidRDefault="0004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10" w:rsidRDefault="005E3810" w:rsidP="005D47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3810" w:rsidRDefault="005E3810" w:rsidP="008C592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10" w:rsidRPr="008C5923" w:rsidRDefault="005E3810" w:rsidP="005D4785">
    <w:pPr>
      <w:pStyle w:val="a7"/>
      <w:framePr w:wrap="around" w:vAnchor="text" w:hAnchor="margin" w:xAlign="right" w:y="1"/>
      <w:rPr>
        <w:rStyle w:val="a9"/>
        <w:sz w:val="24"/>
        <w:szCs w:val="24"/>
      </w:rPr>
    </w:pPr>
    <w:r w:rsidRPr="008C5923">
      <w:rPr>
        <w:rStyle w:val="a9"/>
        <w:sz w:val="24"/>
        <w:szCs w:val="24"/>
      </w:rPr>
      <w:fldChar w:fldCharType="begin"/>
    </w:r>
    <w:r w:rsidRPr="008C5923">
      <w:rPr>
        <w:rStyle w:val="a9"/>
        <w:sz w:val="24"/>
        <w:szCs w:val="24"/>
      </w:rPr>
      <w:instrText xml:space="preserve">PAGE  </w:instrText>
    </w:r>
    <w:r w:rsidRPr="008C5923">
      <w:rPr>
        <w:rStyle w:val="a9"/>
        <w:sz w:val="24"/>
        <w:szCs w:val="24"/>
      </w:rPr>
      <w:fldChar w:fldCharType="separate"/>
    </w:r>
    <w:r w:rsidR="00F530C7">
      <w:rPr>
        <w:rStyle w:val="a9"/>
        <w:noProof/>
        <w:sz w:val="24"/>
        <w:szCs w:val="24"/>
      </w:rPr>
      <w:t>11</w:t>
    </w:r>
    <w:r w:rsidRPr="008C5923">
      <w:rPr>
        <w:rStyle w:val="a9"/>
        <w:sz w:val="24"/>
        <w:szCs w:val="24"/>
      </w:rPr>
      <w:fldChar w:fldCharType="end"/>
    </w:r>
  </w:p>
  <w:p w:rsidR="005E3810" w:rsidRDefault="005E3810" w:rsidP="008C59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FD" w:rsidRDefault="000441FD">
      <w:r>
        <w:separator/>
      </w:r>
    </w:p>
  </w:footnote>
  <w:footnote w:type="continuationSeparator" w:id="0">
    <w:p w:rsidR="000441FD" w:rsidRDefault="0004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5020"/>
    <w:multiLevelType w:val="hybridMultilevel"/>
    <w:tmpl w:val="354AD1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5C6B54"/>
    <w:multiLevelType w:val="hybridMultilevel"/>
    <w:tmpl w:val="11D2F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25FB"/>
    <w:multiLevelType w:val="hybridMultilevel"/>
    <w:tmpl w:val="F6E41276"/>
    <w:lvl w:ilvl="0" w:tplc="EA30EF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86734E4"/>
    <w:multiLevelType w:val="hybridMultilevel"/>
    <w:tmpl w:val="DDBC27FA"/>
    <w:lvl w:ilvl="0" w:tplc="C00C263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8A"/>
    <w:rsid w:val="00001E8E"/>
    <w:rsid w:val="00002355"/>
    <w:rsid w:val="00014C5E"/>
    <w:rsid w:val="0003524F"/>
    <w:rsid w:val="000441FD"/>
    <w:rsid w:val="000511E0"/>
    <w:rsid w:val="00067443"/>
    <w:rsid w:val="00071EAF"/>
    <w:rsid w:val="000B7ED0"/>
    <w:rsid w:val="000C3388"/>
    <w:rsid w:val="000E4FC4"/>
    <w:rsid w:val="000E66DC"/>
    <w:rsid w:val="00103BBD"/>
    <w:rsid w:val="00116B4D"/>
    <w:rsid w:val="00171A3F"/>
    <w:rsid w:val="0018089C"/>
    <w:rsid w:val="001C078F"/>
    <w:rsid w:val="001D0726"/>
    <w:rsid w:val="00233E6C"/>
    <w:rsid w:val="0025089C"/>
    <w:rsid w:val="00283341"/>
    <w:rsid w:val="002D26CC"/>
    <w:rsid w:val="002E6395"/>
    <w:rsid w:val="002F4283"/>
    <w:rsid w:val="002F5B9E"/>
    <w:rsid w:val="002F6375"/>
    <w:rsid w:val="003062E7"/>
    <w:rsid w:val="0032570D"/>
    <w:rsid w:val="00375550"/>
    <w:rsid w:val="0039298A"/>
    <w:rsid w:val="003A5E48"/>
    <w:rsid w:val="003B1C20"/>
    <w:rsid w:val="003B68C7"/>
    <w:rsid w:val="00420FA6"/>
    <w:rsid w:val="0045580C"/>
    <w:rsid w:val="00487C74"/>
    <w:rsid w:val="004A2759"/>
    <w:rsid w:val="004B033B"/>
    <w:rsid w:val="00513091"/>
    <w:rsid w:val="00517F27"/>
    <w:rsid w:val="0052053A"/>
    <w:rsid w:val="005476F3"/>
    <w:rsid w:val="005565DB"/>
    <w:rsid w:val="00567FF4"/>
    <w:rsid w:val="00590CEA"/>
    <w:rsid w:val="005A30FA"/>
    <w:rsid w:val="005C0955"/>
    <w:rsid w:val="005D4785"/>
    <w:rsid w:val="005E3810"/>
    <w:rsid w:val="005F1281"/>
    <w:rsid w:val="00607E87"/>
    <w:rsid w:val="006320C5"/>
    <w:rsid w:val="00637284"/>
    <w:rsid w:val="006B3106"/>
    <w:rsid w:val="006B3298"/>
    <w:rsid w:val="006B6363"/>
    <w:rsid w:val="006C7ADE"/>
    <w:rsid w:val="006F7376"/>
    <w:rsid w:val="00702E97"/>
    <w:rsid w:val="00724C19"/>
    <w:rsid w:val="007313E9"/>
    <w:rsid w:val="00734B59"/>
    <w:rsid w:val="00736AE6"/>
    <w:rsid w:val="00780F16"/>
    <w:rsid w:val="00782581"/>
    <w:rsid w:val="007B57F5"/>
    <w:rsid w:val="008015C3"/>
    <w:rsid w:val="0081741A"/>
    <w:rsid w:val="00833263"/>
    <w:rsid w:val="00843CC1"/>
    <w:rsid w:val="00852BF5"/>
    <w:rsid w:val="008658EE"/>
    <w:rsid w:val="008811E2"/>
    <w:rsid w:val="008A0795"/>
    <w:rsid w:val="008C5923"/>
    <w:rsid w:val="009136BB"/>
    <w:rsid w:val="00917684"/>
    <w:rsid w:val="009207E4"/>
    <w:rsid w:val="009927D9"/>
    <w:rsid w:val="009A7C17"/>
    <w:rsid w:val="009C6264"/>
    <w:rsid w:val="009C6794"/>
    <w:rsid w:val="009C78AA"/>
    <w:rsid w:val="00A02EB5"/>
    <w:rsid w:val="00A13EB8"/>
    <w:rsid w:val="00A24C45"/>
    <w:rsid w:val="00A37979"/>
    <w:rsid w:val="00A50837"/>
    <w:rsid w:val="00A60227"/>
    <w:rsid w:val="00AA21D1"/>
    <w:rsid w:val="00AB4D20"/>
    <w:rsid w:val="00AF2C8C"/>
    <w:rsid w:val="00B05990"/>
    <w:rsid w:val="00B368DE"/>
    <w:rsid w:val="00B56871"/>
    <w:rsid w:val="00B63B64"/>
    <w:rsid w:val="00B71270"/>
    <w:rsid w:val="00B9171F"/>
    <w:rsid w:val="00BA708B"/>
    <w:rsid w:val="00BC5568"/>
    <w:rsid w:val="00BE3EED"/>
    <w:rsid w:val="00BF3297"/>
    <w:rsid w:val="00C14583"/>
    <w:rsid w:val="00C3116F"/>
    <w:rsid w:val="00C639E9"/>
    <w:rsid w:val="00C67141"/>
    <w:rsid w:val="00C75B03"/>
    <w:rsid w:val="00C75CE0"/>
    <w:rsid w:val="00CC761F"/>
    <w:rsid w:val="00D03DC6"/>
    <w:rsid w:val="00D45E93"/>
    <w:rsid w:val="00D62E14"/>
    <w:rsid w:val="00D70D26"/>
    <w:rsid w:val="00D8013F"/>
    <w:rsid w:val="00DA59FE"/>
    <w:rsid w:val="00DD0DC0"/>
    <w:rsid w:val="00E53F02"/>
    <w:rsid w:val="00E75796"/>
    <w:rsid w:val="00EA7E72"/>
    <w:rsid w:val="00ED19AC"/>
    <w:rsid w:val="00EE625B"/>
    <w:rsid w:val="00F04552"/>
    <w:rsid w:val="00F33B81"/>
    <w:rsid w:val="00F530C7"/>
    <w:rsid w:val="00F71D92"/>
    <w:rsid w:val="00F935A3"/>
    <w:rsid w:val="00F937D7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3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locked/>
    <w:rsid w:val="008C59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6">
    <w:name w:val="heading 6"/>
    <w:basedOn w:val="a"/>
    <w:next w:val="a"/>
    <w:link w:val="60"/>
    <w:qFormat/>
    <w:locked/>
    <w:rsid w:val="00A02EB5"/>
    <w:pPr>
      <w:spacing w:before="240" w:after="60" w:line="240" w:lineRule="auto"/>
      <w:outlineLvl w:val="5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semiHidden/>
    <w:locked/>
    <w:rsid w:val="00BA708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a0"/>
    <w:semiHidden/>
    <w:locked/>
    <w:rsid w:val="00BA708B"/>
    <w:rPr>
      <w:rFonts w:ascii="Calibri" w:hAnsi="Calibri" w:cs="Times New Roman"/>
      <w:b/>
      <w:bCs/>
      <w:lang w:eastAsia="en-US"/>
    </w:rPr>
  </w:style>
  <w:style w:type="table" w:styleId="a3">
    <w:name w:val="Table Grid"/>
    <w:basedOn w:val="a1"/>
    <w:rsid w:val="003929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929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39298A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7313E9"/>
    <w:pPr>
      <w:ind w:left="720"/>
      <w:contextualSpacing/>
    </w:pPr>
  </w:style>
  <w:style w:type="paragraph" w:customStyle="1" w:styleId="StyleZakonu">
    <w:name w:val="StyleZakonu"/>
    <w:basedOn w:val="a"/>
    <w:rsid w:val="00B368DE"/>
    <w:pPr>
      <w:spacing w:after="60" w:line="220" w:lineRule="exact"/>
      <w:ind w:firstLine="28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C592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semiHidden/>
    <w:locked/>
    <w:rsid w:val="00BA708B"/>
    <w:rPr>
      <w:rFonts w:cs="Times New Roman"/>
      <w:lang w:eastAsia="en-US"/>
    </w:rPr>
  </w:style>
  <w:style w:type="character" w:styleId="a9">
    <w:name w:val="page number"/>
    <w:basedOn w:val="a0"/>
    <w:rsid w:val="008C5923"/>
    <w:rPr>
      <w:rFonts w:cs="Times New Roman"/>
    </w:rPr>
  </w:style>
  <w:style w:type="paragraph" w:styleId="aa">
    <w:name w:val="header"/>
    <w:basedOn w:val="a"/>
    <w:link w:val="ab"/>
    <w:rsid w:val="008C5923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semiHidden/>
    <w:locked/>
    <w:rsid w:val="00BA708B"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locked/>
    <w:rsid w:val="008C5923"/>
    <w:rPr>
      <w:rFonts w:cs="Times New Roman"/>
      <w:b/>
      <w:bCs/>
      <w:sz w:val="36"/>
      <w:szCs w:val="36"/>
      <w:lang w:val="uk-UA" w:eastAsia="uk-UA" w:bidi="ar-SA"/>
    </w:rPr>
  </w:style>
  <w:style w:type="paragraph" w:styleId="HTML">
    <w:name w:val="HTML Preformatted"/>
    <w:basedOn w:val="a"/>
    <w:link w:val="HTML0"/>
    <w:uiPriority w:val="99"/>
    <w:rsid w:val="00B63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B63B64"/>
    <w:rPr>
      <w:rFonts w:ascii="Courier New" w:hAnsi="Courier New" w:cs="Times New Roman"/>
      <w:lang w:val="uk-UA" w:eastAsia="uk-UA" w:bidi="ar-SA"/>
    </w:rPr>
  </w:style>
  <w:style w:type="character" w:styleId="ac">
    <w:name w:val="Hyperlink"/>
    <w:basedOn w:val="a0"/>
    <w:rsid w:val="00A02EB5"/>
    <w:rPr>
      <w:rFonts w:cs="Times New Roman"/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locked/>
    <w:rsid w:val="00A02EB5"/>
    <w:rPr>
      <w:rFonts w:ascii="Calibri" w:hAnsi="Calibri" w:cs="Times New Roman"/>
      <w:b/>
      <w:bCs/>
      <w:sz w:val="22"/>
      <w:szCs w:val="22"/>
      <w:lang w:val="uk-UA" w:eastAsia="uk-UA" w:bidi="ar-SA"/>
    </w:rPr>
  </w:style>
  <w:style w:type="paragraph" w:customStyle="1" w:styleId="rvps2">
    <w:name w:val="rvps2"/>
    <w:basedOn w:val="a"/>
    <w:rsid w:val="003A5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3A5E48"/>
    <w:rPr>
      <w:rFonts w:cs="Times New Roman"/>
    </w:rPr>
  </w:style>
  <w:style w:type="character" w:customStyle="1" w:styleId="ad">
    <w:name w:val="Знак Знак"/>
    <w:basedOn w:val="a0"/>
    <w:rsid w:val="003A5E48"/>
    <w:rPr>
      <w:rFonts w:ascii="Courier New" w:hAnsi="Courier New" w:cs="Courier New"/>
    </w:rPr>
  </w:style>
  <w:style w:type="paragraph" w:customStyle="1" w:styleId="rvps7">
    <w:name w:val="rvps7"/>
    <w:basedOn w:val="a"/>
    <w:rsid w:val="003A5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F3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11</Pages>
  <Words>7978</Words>
  <Characters>4549</Characters>
  <Application>Microsoft Office Word</Application>
  <DocSecurity>0</DocSecurity>
  <Lines>37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Презентація щодо врахування положень Резолюції в проекті змін до законодавства</vt:lpstr>
      <vt:lpstr>Презентація щодо врахування положень Резолюції в проекті змін до законодавства</vt:lpstr>
    </vt:vector>
  </TitlesOfParts>
  <Company/>
  <LinksUpToDate>false</LinksUpToDate>
  <CharactersWithSpaces>12502</CharactersWithSpaces>
  <SharedDoc>false</SharedDoc>
  <HLinks>
    <vt:vector size="30" baseType="variant">
      <vt:variant>
        <vt:i4>4718686</vt:i4>
      </vt:variant>
      <vt:variant>
        <vt:i4>12</vt:i4>
      </vt:variant>
      <vt:variant>
        <vt:i4>0</vt:i4>
      </vt:variant>
      <vt:variant>
        <vt:i4>5</vt:i4>
      </vt:variant>
      <vt:variant>
        <vt:lpwstr>http://www.menr.gov.ua/tsovv/562-scwm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http://www.menr.gov.ua/tsovv/564-seia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http://www.menr.gov.ua/tsovv/571-geo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http://www.menr.gov.ua/tsovv/781-derzhavne-ahentstvo-ukrainy-z-upravlinnia-zonoiu-vidchuzhennia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http://www.menr.gov.ua/index.php/tsovv/dei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Презентація щодо врахування положень Резолюції в проекті змін до законодавства</dc:title>
  <dc:creator>admin</dc:creator>
  <cp:lastModifiedBy>Olena Sapozhnikova</cp:lastModifiedBy>
  <cp:revision>11</cp:revision>
  <dcterms:created xsi:type="dcterms:W3CDTF">2016-11-20T22:14:00Z</dcterms:created>
  <dcterms:modified xsi:type="dcterms:W3CDTF">2016-11-21T06:21:00Z</dcterms:modified>
</cp:coreProperties>
</file>